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r w:rsidR="007E25BF">
        <w:rPr>
          <w:sz w:val="36"/>
        </w:rPr>
        <w:t>ПРОЕКТ</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3030C1" w:rsidRDefault="00091AC5" w:rsidP="008525BC">
      <w:pPr>
        <w:spacing w:after="0" w:line="0" w:lineRule="atLeast"/>
        <w:jc w:val="center"/>
        <w:rPr>
          <w:rFonts w:ascii="Times New Roman" w:hAnsi="Times New Roman"/>
          <w:sz w:val="24"/>
          <w:szCs w:val="24"/>
        </w:rPr>
      </w:pPr>
      <w:r>
        <w:rPr>
          <w:rFonts w:ascii="Times New Roman" w:hAnsi="Times New Roman"/>
          <w:sz w:val="24"/>
          <w:szCs w:val="24"/>
        </w:rPr>
        <w:t>2023</w:t>
      </w:r>
      <w:r w:rsidR="008565E9" w:rsidRPr="003030C1">
        <w:rPr>
          <w:rFonts w:ascii="Times New Roman" w:hAnsi="Times New Roman"/>
          <w:sz w:val="24"/>
          <w:szCs w:val="24"/>
        </w:rPr>
        <w:t xml:space="preserve"> год                                                        </w:t>
      </w:r>
      <w:r w:rsidR="007975D2">
        <w:rPr>
          <w:rFonts w:ascii="Times New Roman" w:hAnsi="Times New Roman"/>
          <w:sz w:val="24"/>
          <w:szCs w:val="24"/>
        </w:rPr>
        <w:t xml:space="preserve">                      </w:t>
      </w:r>
      <w:r w:rsidR="008565E9" w:rsidRPr="003030C1">
        <w:rPr>
          <w:rFonts w:ascii="Times New Roman" w:hAnsi="Times New Roman"/>
          <w:sz w:val="24"/>
          <w:szCs w:val="24"/>
        </w:rPr>
        <w:t xml:space="preserve"> №</w:t>
      </w:r>
      <w:r w:rsidR="007E25BF">
        <w:rPr>
          <w:rFonts w:ascii="Times New Roman" w:hAnsi="Times New Roman"/>
          <w:sz w:val="24"/>
          <w:szCs w:val="24"/>
        </w:rPr>
        <w:t xml:space="preserve"> </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091AC5">
        <w:rPr>
          <w:rFonts w:ascii="Times New Roman" w:hAnsi="Times New Roman"/>
          <w:b/>
          <w:sz w:val="28"/>
          <w:szCs w:val="28"/>
        </w:rPr>
        <w:t>2022</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091AC5">
        <w:rPr>
          <w:rFonts w:ascii="Times New Roman" w:hAnsi="Times New Roman"/>
          <w:sz w:val="28"/>
          <w:szCs w:val="28"/>
        </w:rPr>
        <w:t xml:space="preserve"> за 2022</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 xml:space="preserve">объем </w:t>
      </w:r>
      <w:r w:rsidR="0002257C">
        <w:rPr>
          <w:rFonts w:ascii="Times New Roman" w:hAnsi="Times New Roman"/>
          <w:sz w:val="28"/>
          <w:szCs w:val="28"/>
        </w:rPr>
        <w:t>ф</w:t>
      </w:r>
      <w:r w:rsidR="00091AC5">
        <w:rPr>
          <w:rFonts w:ascii="Times New Roman" w:hAnsi="Times New Roman"/>
          <w:sz w:val="28"/>
          <w:szCs w:val="28"/>
        </w:rPr>
        <w:t>инансирования Программы  за 2022</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091AC5">
        <w:rPr>
          <w:rFonts w:ascii="Times New Roman" w:hAnsi="Times New Roman"/>
          <w:sz w:val="28"/>
          <w:szCs w:val="28"/>
        </w:rPr>
        <w:t>64,3</w:t>
      </w:r>
      <w:r>
        <w:rPr>
          <w:rFonts w:ascii="Times New Roman" w:hAnsi="Times New Roman"/>
          <w:sz w:val="28"/>
          <w:szCs w:val="28"/>
        </w:rPr>
        <w:t xml:space="preserve"> тыс.рублей.</w:t>
      </w:r>
    </w:p>
    <w:p w:rsidR="004155A9" w:rsidRDefault="00091AC5"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2022</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w:t>
      </w:r>
      <w:r w:rsidR="00BD6907">
        <w:rPr>
          <w:rFonts w:ascii="Times New Roman" w:hAnsi="Times New Roman"/>
          <w:sz w:val="28"/>
          <w:szCs w:val="28"/>
        </w:rPr>
        <w:t>о района относительно уровня 2021</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w:t>
      </w:r>
      <w:r w:rsidR="0002257C">
        <w:rPr>
          <w:sz w:val="28"/>
          <w:szCs w:val="28"/>
        </w:rPr>
        <w:t>я</w:t>
      </w:r>
      <w:r w:rsidR="00091AC5">
        <w:rPr>
          <w:sz w:val="28"/>
          <w:szCs w:val="28"/>
        </w:rPr>
        <w:t xml:space="preserve"> ситуация с пожарами  летом 2022</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091AC5" w:rsidP="004321D0">
      <w:pPr>
        <w:jc w:val="both"/>
        <w:rPr>
          <w:rFonts w:ascii="Times New Roman" w:hAnsi="Times New Roman"/>
          <w:sz w:val="28"/>
          <w:szCs w:val="28"/>
        </w:rPr>
      </w:pPr>
      <w:r>
        <w:rPr>
          <w:rFonts w:ascii="Times New Roman" w:hAnsi="Times New Roman"/>
          <w:sz w:val="28"/>
          <w:szCs w:val="28"/>
        </w:rPr>
        <w:t>За 2022</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091AC5">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091AC5">
        <w:rPr>
          <w:rFonts w:ascii="Times New Roman" w:hAnsi="Times New Roman"/>
          <w:sz w:val="28"/>
          <w:szCs w:val="28"/>
        </w:rPr>
        <w:t>приобретены ранцевые огнетушители</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7935A0" w:rsidRDefault="00B9701B" w:rsidP="00B9701B">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B9701B" w:rsidRPr="0074283F" w:rsidRDefault="00B9701B" w:rsidP="00B9701B">
      <w:pPr>
        <w:spacing w:after="0" w:line="240" w:lineRule="auto"/>
        <w:jc w:val="center"/>
        <w:rPr>
          <w:rFonts w:ascii="Times New Roman" w:hAnsi="Times New Roman"/>
          <w:sz w:val="28"/>
          <w:szCs w:val="28"/>
        </w:rPr>
      </w:pP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 xml:space="preserve">бюджета поселения, областного и федерального бюджетов </w:t>
      </w:r>
      <w:r w:rsidR="0002257C">
        <w:rPr>
          <w:rFonts w:ascii="Times New Roman" w:hAnsi="Times New Roman"/>
          <w:sz w:val="28"/>
          <w:szCs w:val="28"/>
        </w:rPr>
        <w:t>и</w:t>
      </w:r>
      <w:r w:rsidR="00091AC5">
        <w:rPr>
          <w:rFonts w:ascii="Times New Roman" w:hAnsi="Times New Roman"/>
          <w:sz w:val="28"/>
          <w:szCs w:val="28"/>
        </w:rPr>
        <w:t xml:space="preserve"> внебюджетных источников за 2022</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BA5ED9">
      <w:pPr>
        <w:spacing w:after="0" w:line="240" w:lineRule="auto"/>
        <w:ind w:firstLine="708"/>
        <w:jc w:val="both"/>
        <w:rPr>
          <w:rFonts w:ascii="Times New Roman" w:hAnsi="Times New Roman"/>
          <w:sz w:val="28"/>
          <w:szCs w:val="28"/>
        </w:rPr>
      </w:pPr>
    </w:p>
    <w:p w:rsidR="007935A0" w:rsidRDefault="007935A0" w:rsidP="00BA5ED9">
      <w:pPr>
        <w:spacing w:after="0" w:line="240" w:lineRule="auto"/>
        <w:ind w:firstLine="708"/>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w:t>
      </w:r>
      <w:r>
        <w:rPr>
          <w:rFonts w:ascii="Times New Roman" w:hAnsi="Times New Roman"/>
          <w:sz w:val="28"/>
          <w:szCs w:val="28"/>
        </w:rPr>
        <w:lastRenderedPageBreak/>
        <w:t>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w:t>
      </w:r>
      <w:r w:rsidR="00091AC5">
        <w:rPr>
          <w:rFonts w:ascii="Times New Roman" w:hAnsi="Times New Roman"/>
          <w:sz w:val="28"/>
          <w:szCs w:val="28"/>
        </w:rPr>
        <w:t>61,6</w:t>
      </w:r>
      <w:r w:rsidR="00C30C91">
        <w:rPr>
          <w:rFonts w:ascii="Times New Roman" w:hAnsi="Times New Roman"/>
          <w:sz w:val="28"/>
          <w:szCs w:val="28"/>
        </w:rPr>
        <w:t>/</w:t>
      </w:r>
      <w:r w:rsidR="00091AC5">
        <w:rPr>
          <w:rFonts w:ascii="Times New Roman" w:hAnsi="Times New Roman"/>
          <w:sz w:val="28"/>
          <w:szCs w:val="28"/>
        </w:rPr>
        <w:t>58,1</w:t>
      </w:r>
      <w:r w:rsidR="00C30C91">
        <w:rPr>
          <w:rFonts w:ascii="Times New Roman" w:hAnsi="Times New Roman"/>
          <w:sz w:val="28"/>
          <w:szCs w:val="28"/>
        </w:rPr>
        <w:t xml:space="preserve"> + </w:t>
      </w:r>
      <w:r w:rsidR="00091AC5">
        <w:rPr>
          <w:rFonts w:ascii="Times New Roman" w:hAnsi="Times New Roman"/>
          <w:sz w:val="28"/>
          <w:szCs w:val="28"/>
        </w:rPr>
        <w:t>2,7</w:t>
      </w:r>
      <w:r w:rsidR="00C30C91">
        <w:rPr>
          <w:rFonts w:ascii="Times New Roman" w:hAnsi="Times New Roman"/>
          <w:sz w:val="28"/>
          <w:szCs w:val="28"/>
        </w:rPr>
        <w:t>/</w:t>
      </w:r>
      <w:r w:rsidR="00091AC5">
        <w:rPr>
          <w:rFonts w:ascii="Times New Roman" w:hAnsi="Times New Roman"/>
          <w:sz w:val="28"/>
          <w:szCs w:val="28"/>
        </w:rPr>
        <w:t>2,7</w:t>
      </w:r>
      <w:r w:rsidR="00C30C91">
        <w:rPr>
          <w:rFonts w:ascii="Times New Roman" w:hAnsi="Times New Roman"/>
          <w:sz w:val="28"/>
          <w:szCs w:val="28"/>
        </w:rPr>
        <w:t>) /2</w:t>
      </w:r>
      <w:r>
        <w:rPr>
          <w:rFonts w:ascii="Times New Roman" w:hAnsi="Times New Roman"/>
          <w:sz w:val="28"/>
          <w:szCs w:val="28"/>
        </w:rPr>
        <w:t xml:space="preserve"> = 1,0</w:t>
      </w:r>
      <w:r w:rsidR="00091AC5">
        <w:rPr>
          <w:rFonts w:ascii="Times New Roman" w:hAnsi="Times New Roman"/>
          <w:sz w:val="28"/>
          <w:szCs w:val="28"/>
        </w:rPr>
        <w:t>3</w:t>
      </w:r>
      <w:r>
        <w:rPr>
          <w:rFonts w:ascii="Times New Roman" w:hAnsi="Times New Roman"/>
          <w:sz w:val="28"/>
          <w:szCs w:val="28"/>
        </w:rPr>
        <w:t xml:space="preserve"> (10</w:t>
      </w:r>
      <w:r w:rsidR="00091AC5">
        <w:rPr>
          <w:rFonts w:ascii="Times New Roman" w:hAnsi="Times New Roman"/>
          <w:sz w:val="28"/>
          <w:szCs w:val="28"/>
        </w:rPr>
        <w:t>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BD6907">
        <w:rPr>
          <w:rFonts w:ascii="Times New Roman" w:hAnsi="Times New Roman"/>
          <w:sz w:val="28"/>
          <w:szCs w:val="28"/>
        </w:rPr>
        <w:t>40,0</w:t>
      </w:r>
      <w:r w:rsidR="000D302B">
        <w:rPr>
          <w:rFonts w:ascii="Times New Roman" w:hAnsi="Times New Roman"/>
          <w:sz w:val="28"/>
          <w:szCs w:val="28"/>
        </w:rPr>
        <w:t>/</w:t>
      </w:r>
      <w:r w:rsidR="00BD6907">
        <w:rPr>
          <w:rFonts w:ascii="Times New Roman" w:hAnsi="Times New Roman"/>
          <w:sz w:val="28"/>
          <w:szCs w:val="28"/>
        </w:rPr>
        <w:t>30,0</w:t>
      </w:r>
      <w:r w:rsidRPr="00565F8A">
        <w:rPr>
          <w:rFonts w:ascii="Times New Roman" w:hAnsi="Times New Roman"/>
          <w:sz w:val="28"/>
          <w:szCs w:val="28"/>
        </w:rPr>
        <w:t xml:space="preserve">= </w:t>
      </w:r>
      <w:r w:rsidR="00BD6907">
        <w:rPr>
          <w:rFonts w:ascii="Times New Roman" w:hAnsi="Times New Roman"/>
          <w:sz w:val="28"/>
          <w:szCs w:val="28"/>
        </w:rPr>
        <w:t xml:space="preserve"> 1,3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w:t>
      </w:r>
      <w:r w:rsidR="0002257C">
        <w:rPr>
          <w:rFonts w:ascii="Times New Roman" w:hAnsi="Times New Roman"/>
          <w:sz w:val="28"/>
          <w:szCs w:val="28"/>
        </w:rPr>
        <w:t>,</w:t>
      </w:r>
      <w:r w:rsidR="00091AC5">
        <w:rPr>
          <w:rFonts w:ascii="Times New Roman" w:hAnsi="Times New Roman"/>
          <w:sz w:val="28"/>
          <w:szCs w:val="28"/>
        </w:rPr>
        <w:t>03</w:t>
      </w:r>
      <w:r w:rsidR="00C30C91">
        <w:rPr>
          <w:rFonts w:ascii="Times New Roman" w:hAnsi="Times New Roman"/>
          <w:sz w:val="28"/>
          <w:szCs w:val="28"/>
        </w:rPr>
        <w:t>/</w:t>
      </w:r>
      <w:r w:rsidR="00BD6907">
        <w:rPr>
          <w:rFonts w:ascii="Times New Roman" w:hAnsi="Times New Roman"/>
          <w:sz w:val="28"/>
          <w:szCs w:val="28"/>
        </w:rPr>
        <w:t>1,3</w:t>
      </w:r>
      <w:r w:rsidR="00C30C91">
        <w:rPr>
          <w:rFonts w:ascii="Times New Roman" w:hAnsi="Times New Roman"/>
          <w:sz w:val="28"/>
          <w:szCs w:val="28"/>
        </w:rPr>
        <w:t xml:space="preserve">= </w:t>
      </w:r>
      <w:r w:rsidR="0002257C">
        <w:rPr>
          <w:rFonts w:ascii="Times New Roman" w:hAnsi="Times New Roman"/>
          <w:sz w:val="28"/>
          <w:szCs w:val="28"/>
        </w:rPr>
        <w:t>0,8</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w:t>
      </w:r>
      <w:r w:rsidR="0002257C">
        <w:rPr>
          <w:rFonts w:ascii="Times New Roman" w:hAnsi="Times New Roman"/>
          <w:sz w:val="28"/>
          <w:szCs w:val="28"/>
        </w:rPr>
        <w:t>0,8</w:t>
      </w:r>
      <w:r>
        <w:rPr>
          <w:rFonts w:ascii="Times New Roman" w:hAnsi="Times New Roman"/>
          <w:sz w:val="28"/>
          <w:szCs w:val="28"/>
        </w:rPr>
        <w:t>,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51DF6"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1257A0">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1257A0">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1257A0">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1257A0">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1257A0">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1257A0">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1257A0">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sidR="001257A0">
              <w:rPr>
                <w:rFonts w:ascii="Times New Roman" w:hAnsi="Times New Roman"/>
                <w:sz w:val="24"/>
                <w:szCs w:val="24"/>
              </w:rPr>
              <w:t>2</w:t>
            </w:r>
            <w:r w:rsidR="00091AC5">
              <w:rPr>
                <w:rFonts w:ascii="Times New Roman" w:hAnsi="Times New Roman"/>
                <w:sz w:val="24"/>
                <w:szCs w:val="24"/>
              </w:rPr>
              <w:t>2</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sidR="001257A0">
              <w:rPr>
                <w:rFonts w:ascii="Times New Roman" w:hAnsi="Times New Roman"/>
                <w:sz w:val="24"/>
                <w:szCs w:val="24"/>
              </w:rPr>
              <w:t>2</w:t>
            </w:r>
            <w:r w:rsidR="00091AC5">
              <w:rPr>
                <w:rFonts w:ascii="Times New Roman" w:hAnsi="Times New Roman"/>
                <w:sz w:val="24"/>
                <w:szCs w:val="24"/>
              </w:rPr>
              <w:t>2</w:t>
            </w:r>
          </w:p>
        </w:tc>
        <w:tc>
          <w:tcPr>
            <w:tcW w:w="1530" w:type="dxa"/>
          </w:tcPr>
          <w:p w:rsidR="00C661D8" w:rsidRPr="006148F6" w:rsidRDefault="00091AC5" w:rsidP="001257A0">
            <w:pPr>
              <w:jc w:val="center"/>
              <w:rPr>
                <w:rFonts w:ascii="Times New Roman" w:hAnsi="Times New Roman"/>
                <w:sz w:val="24"/>
                <w:szCs w:val="24"/>
              </w:rPr>
            </w:pPr>
            <w:r>
              <w:rPr>
                <w:rFonts w:ascii="Times New Roman" w:hAnsi="Times New Roman"/>
                <w:sz w:val="24"/>
                <w:szCs w:val="24"/>
              </w:rPr>
              <w:t>64,3</w:t>
            </w:r>
          </w:p>
        </w:tc>
        <w:tc>
          <w:tcPr>
            <w:tcW w:w="1586" w:type="dxa"/>
          </w:tcPr>
          <w:p w:rsidR="00C661D8" w:rsidRPr="006148F6" w:rsidRDefault="00091AC5" w:rsidP="001257A0">
            <w:pPr>
              <w:jc w:val="center"/>
              <w:rPr>
                <w:rFonts w:ascii="Times New Roman" w:hAnsi="Times New Roman"/>
                <w:sz w:val="24"/>
                <w:szCs w:val="24"/>
              </w:rPr>
            </w:pPr>
            <w:r>
              <w:rPr>
                <w:rFonts w:ascii="Times New Roman" w:hAnsi="Times New Roman"/>
                <w:sz w:val="24"/>
                <w:szCs w:val="24"/>
              </w:rPr>
              <w:t>63,5</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60,8</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w:t>
            </w:r>
            <w:r>
              <w:rPr>
                <w:rFonts w:ascii="Times New Roman" w:hAnsi="Times New Roman"/>
                <w:color w:val="000000"/>
                <w:sz w:val="24"/>
                <w:szCs w:val="24"/>
              </w:rPr>
              <w:t>д</w:t>
            </w:r>
            <w:r w:rsidRPr="006148F6">
              <w:rPr>
                <w:rFonts w:ascii="Times New Roman" w:hAnsi="Times New Roman"/>
                <w:color w:val="000000"/>
                <w:sz w:val="24"/>
                <w:szCs w:val="24"/>
              </w:rPr>
              <w:t>ля обеспечения мер первичной пожарной безопасности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60,8</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путем объявления в </w:t>
            </w:r>
            <w:r w:rsidRPr="006148F6">
              <w:rPr>
                <w:rFonts w:ascii="Times New Roman" w:hAnsi="Times New Roman"/>
                <w:sz w:val="24"/>
                <w:szCs w:val="24"/>
              </w:rPr>
              <w:lastRenderedPageBreak/>
              <w:t>радиогазете</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32,4</w:t>
            </w:r>
          </w:p>
        </w:tc>
        <w:tc>
          <w:tcPr>
            <w:tcW w:w="1586"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32,4</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091AC5" w:rsidRPr="00A149B9" w:rsidRDefault="00091AC5" w:rsidP="001257A0">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091AC5" w:rsidRDefault="00091AC5" w:rsidP="001257A0">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1257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091AC5" w:rsidRDefault="00091AC5" w:rsidP="00BE58A7">
            <w:pPr>
              <w:widowControl w:val="0"/>
              <w:autoSpaceDE w:val="0"/>
              <w:autoSpaceDN w:val="0"/>
              <w:adjustRightInd w:val="0"/>
              <w:rPr>
                <w:rFonts w:ascii="Times New Roman" w:hAnsi="Times New Roman"/>
                <w:bCs/>
                <w:kern w:val="2"/>
                <w:sz w:val="24"/>
                <w:szCs w:val="24"/>
              </w:rPr>
            </w:pPr>
            <w:r w:rsidRPr="00091AC5">
              <w:rPr>
                <w:rFonts w:ascii="Times New Roman" w:hAnsi="Times New Roman"/>
                <w:bCs/>
                <w:kern w:val="2"/>
                <w:sz w:val="24"/>
                <w:szCs w:val="24"/>
              </w:rPr>
              <w:t>Мероприятие</w:t>
            </w:r>
            <w:r>
              <w:rPr>
                <w:rFonts w:ascii="Times New Roman" w:hAnsi="Times New Roman"/>
                <w:bCs/>
                <w:kern w:val="2"/>
                <w:sz w:val="24"/>
                <w:szCs w:val="24"/>
              </w:rPr>
              <w:t xml:space="preserve"> </w:t>
            </w:r>
            <w:r w:rsidRPr="00091AC5">
              <w:rPr>
                <w:rFonts w:ascii="Times New Roman" w:hAnsi="Times New Roman"/>
                <w:bCs/>
                <w:kern w:val="2"/>
                <w:sz w:val="24"/>
                <w:szCs w:val="24"/>
              </w:rPr>
              <w:t xml:space="preserve"> 4.1</w:t>
            </w:r>
            <w:r>
              <w:rPr>
                <w:rFonts w:ascii="Times New Roman" w:hAnsi="Times New Roman"/>
                <w:bCs/>
                <w:kern w:val="2"/>
                <w:sz w:val="24"/>
                <w:szCs w:val="24"/>
              </w:rPr>
              <w:t xml:space="preserve"> </w:t>
            </w:r>
            <w:r w:rsidRPr="00091AC5">
              <w:rPr>
                <w:rFonts w:ascii="Times New Roman" w:hAnsi="Times New Roman"/>
                <w:bCs/>
                <w:kern w:val="2"/>
                <w:sz w:val="24"/>
                <w:szCs w:val="24"/>
              </w:rPr>
              <w:t>материально-техническое обеспечение добровольных пожарных дружин (страхование жизни)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64,3</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63,5</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1257A0" w:rsidRDefault="001257A0"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sidR="00091AC5">
        <w:rPr>
          <w:rFonts w:ascii="Times New Roman" w:hAnsi="Times New Roman" w:cs="Times New Roman"/>
          <w:sz w:val="28"/>
          <w:szCs w:val="28"/>
        </w:rPr>
        <w:t>2022</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окончания</w:t>
            </w:r>
            <w:r w:rsidRPr="006148F6">
              <w:rPr>
                <w:rFonts w:ascii="Times New Roman" w:hAnsi="Times New Roman" w:cs="Times New Roman"/>
                <w:sz w:val="24"/>
                <w:szCs w:val="24"/>
              </w:rPr>
              <w:br/>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Объемы неосвоенных средств и причины их неосвоения</w:t>
            </w:r>
          </w:p>
          <w:p w:rsidR="006148F6" w:rsidRPr="006148F6" w:rsidRDefault="00B91968"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w:t>
            </w:r>
            <w:r w:rsidR="00F41643" w:rsidRPr="00F41643">
              <w:rPr>
                <w:rFonts w:ascii="Times New Roman" w:hAnsi="Times New Roman"/>
                <w:sz w:val="24"/>
                <w:szCs w:val="24"/>
              </w:rPr>
              <w:lastRenderedPageBreak/>
              <w:t>тех</w:t>
            </w:r>
            <w:r>
              <w:rPr>
                <w:rFonts w:ascii="Times New Roman" w:hAnsi="Times New Roman"/>
                <w:sz w:val="24"/>
                <w:szCs w:val="24"/>
              </w:rPr>
              <w:t>ногенного 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F41643"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F41643"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F41643"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362876" w:rsidRPr="006148F6" w:rsidTr="0042418F">
        <w:trPr>
          <w:trHeight w:val="2517"/>
          <w:tblCellSpacing w:w="5" w:type="nil"/>
        </w:trPr>
        <w:tc>
          <w:tcPr>
            <w:tcW w:w="426" w:type="dxa"/>
          </w:tcPr>
          <w:p w:rsidR="00362876" w:rsidRPr="006148F6" w:rsidRDefault="00362876" w:rsidP="00AA02FF">
            <w:pPr>
              <w:pStyle w:val="ConsPlusCell"/>
              <w:rPr>
                <w:rFonts w:ascii="Times New Roman" w:hAnsi="Times New Roman" w:cs="Times New Roman"/>
                <w:strike/>
                <w:sz w:val="24"/>
                <w:szCs w:val="24"/>
              </w:rPr>
            </w:pPr>
          </w:p>
        </w:tc>
        <w:tc>
          <w:tcPr>
            <w:tcW w:w="3969" w:type="dxa"/>
          </w:tcPr>
          <w:p w:rsidR="00362876" w:rsidRPr="006148F6" w:rsidRDefault="00362876"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362876" w:rsidRPr="006148F6" w:rsidRDefault="00362876" w:rsidP="00AA02FF">
            <w:pPr>
              <w:pStyle w:val="ConsPlusCell"/>
              <w:rPr>
                <w:rFonts w:ascii="Times New Roman" w:hAnsi="Times New Roman" w:cs="Times New Roman"/>
                <w:sz w:val="24"/>
                <w:szCs w:val="24"/>
              </w:rPr>
            </w:pPr>
          </w:p>
        </w:tc>
        <w:tc>
          <w:tcPr>
            <w:tcW w:w="2551" w:type="dxa"/>
          </w:tcPr>
          <w:p w:rsidR="00362876" w:rsidRPr="00F41643" w:rsidRDefault="00362876"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362876" w:rsidRPr="006148F6" w:rsidRDefault="008C12D1"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362876" w:rsidRPr="006148F6" w:rsidRDefault="008C12D1" w:rsidP="008A4355">
            <w:pPr>
              <w:jc w:val="center"/>
              <w:rPr>
                <w:rFonts w:ascii="Times New Roman" w:hAnsi="Times New Roman"/>
                <w:sz w:val="24"/>
                <w:szCs w:val="24"/>
              </w:rPr>
            </w:pPr>
            <w:r>
              <w:rPr>
                <w:rFonts w:ascii="Times New Roman" w:hAnsi="Times New Roman"/>
                <w:sz w:val="24"/>
                <w:szCs w:val="24"/>
              </w:rPr>
              <w:t>61,6</w:t>
            </w:r>
          </w:p>
        </w:tc>
        <w:tc>
          <w:tcPr>
            <w:tcW w:w="992" w:type="dxa"/>
          </w:tcPr>
          <w:p w:rsidR="00362876" w:rsidRPr="006148F6" w:rsidRDefault="008C12D1" w:rsidP="008A4355">
            <w:pPr>
              <w:jc w:val="center"/>
              <w:rPr>
                <w:rFonts w:ascii="Times New Roman" w:hAnsi="Times New Roman"/>
                <w:sz w:val="24"/>
                <w:szCs w:val="24"/>
              </w:rPr>
            </w:pPr>
            <w:r>
              <w:rPr>
                <w:rFonts w:ascii="Times New Roman" w:hAnsi="Times New Roman"/>
                <w:sz w:val="24"/>
                <w:szCs w:val="24"/>
              </w:rPr>
              <w:t>60,8</w:t>
            </w:r>
          </w:p>
        </w:tc>
        <w:tc>
          <w:tcPr>
            <w:tcW w:w="991" w:type="dxa"/>
          </w:tcPr>
          <w:p w:rsidR="00362876" w:rsidRPr="006148F6" w:rsidRDefault="008C12D1"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val="restart"/>
          </w:tcPr>
          <w:p w:rsidR="008C12D1" w:rsidRPr="00F41643" w:rsidRDefault="008C12D1"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Приобретены 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BE58A7">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61,6</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60,8</w:t>
            </w:r>
          </w:p>
        </w:tc>
        <w:tc>
          <w:tcPr>
            <w:tcW w:w="991" w:type="dxa"/>
          </w:tcPr>
          <w:p w:rsidR="008C12D1" w:rsidRPr="006148F6" w:rsidRDefault="008C12D1" w:rsidP="00BE58A7">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tcPr>
          <w:p w:rsidR="008C12D1" w:rsidRPr="00F41643" w:rsidRDefault="008C12D1" w:rsidP="005F0CC9">
            <w:pPr>
              <w:widowControl w:val="0"/>
              <w:autoSpaceDE w:val="0"/>
              <w:autoSpaceDN w:val="0"/>
              <w:adjustRightInd w:val="0"/>
              <w:jc w:val="both"/>
              <w:rPr>
                <w:rFonts w:ascii="Times New Roman" w:hAnsi="Times New Roman"/>
                <w:sz w:val="24"/>
                <w:szCs w:val="24"/>
              </w:rPr>
            </w:pP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w:t>
            </w:r>
            <w:r>
              <w:rPr>
                <w:rFonts w:ascii="Times New Roman" w:hAnsi="Times New Roman"/>
                <w:sz w:val="24"/>
                <w:szCs w:val="24"/>
              </w:rPr>
              <w:t xml:space="preserve">.4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w:t>
            </w:r>
            <w:r w:rsidRPr="006148F6">
              <w:rPr>
                <w:rFonts w:ascii="Times New Roman" w:hAnsi="Times New Roman"/>
                <w:sz w:val="24"/>
                <w:szCs w:val="24"/>
              </w:rPr>
              <w:lastRenderedPageBreak/>
              <w:t>Николаевского сельского поселения, путем объявления в радиогазете</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людей, получивших травму при пожаре</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bCs/>
                <w:kern w:val="2"/>
                <w:sz w:val="24"/>
                <w:szCs w:val="24"/>
              </w:rPr>
            </w:pPr>
            <w:r>
              <w:rPr>
                <w:rFonts w:ascii="Times New Roman" w:hAnsi="Times New Roman"/>
                <w:bCs/>
                <w:kern w:val="2"/>
                <w:sz w:val="24"/>
                <w:szCs w:val="24"/>
              </w:rPr>
              <w:t xml:space="preserve">Мероприятие 1.5  </w:t>
            </w:r>
            <w:r w:rsidRPr="006148F6">
              <w:rPr>
                <w:rFonts w:ascii="Times New Roman" w:hAnsi="Times New Roman"/>
                <w:bCs/>
                <w:kern w:val="2"/>
                <w:sz w:val="24"/>
                <w:szCs w:val="24"/>
              </w:rPr>
              <w:t>Обслуживание системы пожарной сигнализации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Pr="00F41643">
              <w:rPr>
                <w:rFonts w:ascii="Times New Roman" w:hAnsi="Times New Roman" w:cs="Times New Roman"/>
                <w:sz w:val="24"/>
                <w:szCs w:val="24"/>
              </w:rPr>
              <w:t xml:space="preserve"> системы  противопожарной сигнализации </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32,4</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32,4</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32,4</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 не производились</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BD6907" w:rsidRDefault="00AA02FF"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BD6907" w:rsidRDefault="006148F6"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BD6907">
      <w:pPr>
        <w:spacing w:after="0" w:line="240" w:lineRule="auto"/>
        <w:ind w:firstLine="708"/>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16E" w:rsidRDefault="00C5116E" w:rsidP="00D359A1">
      <w:pPr>
        <w:spacing w:after="0" w:line="240" w:lineRule="auto"/>
      </w:pPr>
      <w:r>
        <w:separator/>
      </w:r>
    </w:p>
  </w:endnote>
  <w:endnote w:type="continuationSeparator" w:id="1">
    <w:p w:rsidR="00C5116E" w:rsidRDefault="00C5116E"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16E" w:rsidRDefault="00C5116E" w:rsidP="00D359A1">
      <w:pPr>
        <w:spacing w:after="0" w:line="240" w:lineRule="auto"/>
      </w:pPr>
      <w:r>
        <w:separator/>
      </w:r>
    </w:p>
  </w:footnote>
  <w:footnote w:type="continuationSeparator" w:id="1">
    <w:p w:rsidR="00C5116E" w:rsidRDefault="00C5116E"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B35F0"/>
    <w:rsid w:val="00003EF7"/>
    <w:rsid w:val="00010928"/>
    <w:rsid w:val="00010C8E"/>
    <w:rsid w:val="0001184C"/>
    <w:rsid w:val="0002257C"/>
    <w:rsid w:val="00026283"/>
    <w:rsid w:val="00030223"/>
    <w:rsid w:val="00034368"/>
    <w:rsid w:val="000363D3"/>
    <w:rsid w:val="0004003C"/>
    <w:rsid w:val="00041128"/>
    <w:rsid w:val="000433E3"/>
    <w:rsid w:val="00047DCA"/>
    <w:rsid w:val="00051DF6"/>
    <w:rsid w:val="000566EE"/>
    <w:rsid w:val="00060A2B"/>
    <w:rsid w:val="00066C73"/>
    <w:rsid w:val="00082488"/>
    <w:rsid w:val="00091AC5"/>
    <w:rsid w:val="00094069"/>
    <w:rsid w:val="000A4EF4"/>
    <w:rsid w:val="000B5D93"/>
    <w:rsid w:val="000C2151"/>
    <w:rsid w:val="000C460C"/>
    <w:rsid w:val="000D302B"/>
    <w:rsid w:val="000E05A3"/>
    <w:rsid w:val="000E63EA"/>
    <w:rsid w:val="000F744F"/>
    <w:rsid w:val="00102248"/>
    <w:rsid w:val="001257A0"/>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07D5F"/>
    <w:rsid w:val="00235C5E"/>
    <w:rsid w:val="00245972"/>
    <w:rsid w:val="0026734E"/>
    <w:rsid w:val="0027324E"/>
    <w:rsid w:val="00281438"/>
    <w:rsid w:val="00281C69"/>
    <w:rsid w:val="00282CDF"/>
    <w:rsid w:val="002A37F2"/>
    <w:rsid w:val="002A4A6E"/>
    <w:rsid w:val="002A64FB"/>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2876"/>
    <w:rsid w:val="0036413D"/>
    <w:rsid w:val="00381B68"/>
    <w:rsid w:val="00384774"/>
    <w:rsid w:val="003951A5"/>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64B82"/>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333D5"/>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068E0"/>
    <w:rsid w:val="006148F6"/>
    <w:rsid w:val="00640801"/>
    <w:rsid w:val="006416F5"/>
    <w:rsid w:val="00647127"/>
    <w:rsid w:val="00650762"/>
    <w:rsid w:val="006710D9"/>
    <w:rsid w:val="00682C67"/>
    <w:rsid w:val="0068668A"/>
    <w:rsid w:val="00697E67"/>
    <w:rsid w:val="006A6F08"/>
    <w:rsid w:val="006B279D"/>
    <w:rsid w:val="006C2F16"/>
    <w:rsid w:val="006D004F"/>
    <w:rsid w:val="006D0D86"/>
    <w:rsid w:val="006D4BD6"/>
    <w:rsid w:val="006D6120"/>
    <w:rsid w:val="006E104E"/>
    <w:rsid w:val="006F0C5B"/>
    <w:rsid w:val="006F4E28"/>
    <w:rsid w:val="00707F7D"/>
    <w:rsid w:val="0072427D"/>
    <w:rsid w:val="00740BBB"/>
    <w:rsid w:val="00741D55"/>
    <w:rsid w:val="0074283F"/>
    <w:rsid w:val="007508F4"/>
    <w:rsid w:val="0077669A"/>
    <w:rsid w:val="00780791"/>
    <w:rsid w:val="00784B18"/>
    <w:rsid w:val="007855D1"/>
    <w:rsid w:val="007935A0"/>
    <w:rsid w:val="007975D2"/>
    <w:rsid w:val="007A139D"/>
    <w:rsid w:val="007A380B"/>
    <w:rsid w:val="007A65CF"/>
    <w:rsid w:val="007C291B"/>
    <w:rsid w:val="007E25BF"/>
    <w:rsid w:val="007F14BF"/>
    <w:rsid w:val="007F197D"/>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12D1"/>
    <w:rsid w:val="008C703F"/>
    <w:rsid w:val="008D1F09"/>
    <w:rsid w:val="008E1586"/>
    <w:rsid w:val="008E195A"/>
    <w:rsid w:val="008E4583"/>
    <w:rsid w:val="009015DA"/>
    <w:rsid w:val="00903268"/>
    <w:rsid w:val="0091136A"/>
    <w:rsid w:val="0091194E"/>
    <w:rsid w:val="009210BF"/>
    <w:rsid w:val="00932A79"/>
    <w:rsid w:val="009354C1"/>
    <w:rsid w:val="00940DA2"/>
    <w:rsid w:val="00945C08"/>
    <w:rsid w:val="00951766"/>
    <w:rsid w:val="00963444"/>
    <w:rsid w:val="00965BD0"/>
    <w:rsid w:val="00971343"/>
    <w:rsid w:val="0098183B"/>
    <w:rsid w:val="009965E9"/>
    <w:rsid w:val="009A3090"/>
    <w:rsid w:val="009A3973"/>
    <w:rsid w:val="009C0C33"/>
    <w:rsid w:val="009D0597"/>
    <w:rsid w:val="009D7BAA"/>
    <w:rsid w:val="009F20D1"/>
    <w:rsid w:val="00A149B9"/>
    <w:rsid w:val="00A158CC"/>
    <w:rsid w:val="00A463DE"/>
    <w:rsid w:val="00A650B7"/>
    <w:rsid w:val="00A97BD9"/>
    <w:rsid w:val="00AA02FF"/>
    <w:rsid w:val="00AB05EA"/>
    <w:rsid w:val="00AB44DA"/>
    <w:rsid w:val="00AB465D"/>
    <w:rsid w:val="00AF5A1E"/>
    <w:rsid w:val="00B10A69"/>
    <w:rsid w:val="00B159D4"/>
    <w:rsid w:val="00B22B0E"/>
    <w:rsid w:val="00B30CD4"/>
    <w:rsid w:val="00B54891"/>
    <w:rsid w:val="00B7592A"/>
    <w:rsid w:val="00B77C53"/>
    <w:rsid w:val="00B84A0F"/>
    <w:rsid w:val="00B86AA6"/>
    <w:rsid w:val="00B91968"/>
    <w:rsid w:val="00B91E54"/>
    <w:rsid w:val="00B9701B"/>
    <w:rsid w:val="00BA1200"/>
    <w:rsid w:val="00BA5ED9"/>
    <w:rsid w:val="00BB3919"/>
    <w:rsid w:val="00BB54B7"/>
    <w:rsid w:val="00BC6557"/>
    <w:rsid w:val="00BD56CE"/>
    <w:rsid w:val="00BD6907"/>
    <w:rsid w:val="00C07FE9"/>
    <w:rsid w:val="00C11B2D"/>
    <w:rsid w:val="00C23123"/>
    <w:rsid w:val="00C30C91"/>
    <w:rsid w:val="00C40AED"/>
    <w:rsid w:val="00C471BD"/>
    <w:rsid w:val="00C5116E"/>
    <w:rsid w:val="00C51865"/>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64A94"/>
    <w:rsid w:val="00D80CA6"/>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53B41"/>
    <w:rsid w:val="00E77F9A"/>
    <w:rsid w:val="00E826B9"/>
    <w:rsid w:val="00E90F97"/>
    <w:rsid w:val="00E9211B"/>
    <w:rsid w:val="00EB35F0"/>
    <w:rsid w:val="00ED0ADB"/>
    <w:rsid w:val="00ED6354"/>
    <w:rsid w:val="00EE1D9C"/>
    <w:rsid w:val="00EE6231"/>
    <w:rsid w:val="00EF4385"/>
    <w:rsid w:val="00EF4EDA"/>
    <w:rsid w:val="00EF7149"/>
    <w:rsid w:val="00F059A1"/>
    <w:rsid w:val="00F07144"/>
    <w:rsid w:val="00F41643"/>
    <w:rsid w:val="00F51A66"/>
    <w:rsid w:val="00F619D9"/>
    <w:rsid w:val="00F80A58"/>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65</cp:revision>
  <cp:lastPrinted>2023-03-10T04:53:00Z</cp:lastPrinted>
  <dcterms:created xsi:type="dcterms:W3CDTF">2016-02-25T06:30:00Z</dcterms:created>
  <dcterms:modified xsi:type="dcterms:W3CDTF">2023-06-29T05:10:00Z</dcterms:modified>
</cp:coreProperties>
</file>